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0F38" w14:textId="77777777" w:rsidR="00991CE9" w:rsidRDefault="00991CE9" w:rsidP="00991CE9">
      <w:pPr>
        <w:pStyle w:val="a3"/>
        <w:widowControl/>
        <w:spacing w:line="160" w:lineRule="atLeast"/>
        <w:ind w:right="640"/>
        <w:rPr>
          <w:rFonts w:ascii="仿宋_GB2312" w:eastAsia="仿宋_GB2312" w:hAnsi="仿宋" w:cs="仿宋" w:hint="default"/>
          <w:sz w:val="32"/>
          <w:szCs w:val="32"/>
          <w:lang w:bidi="ar"/>
        </w:rPr>
      </w:pPr>
      <w:r>
        <w:rPr>
          <w:rFonts w:ascii="黑体" w:eastAsia="黑体" w:hAnsi="华文中宋" w:cs="黑体"/>
          <w:sz w:val="32"/>
          <w:szCs w:val="32"/>
        </w:rPr>
        <w:t>附件1</w:t>
      </w:r>
    </w:p>
    <w:p w14:paraId="6D44A56B" w14:textId="77777777" w:rsidR="00991CE9" w:rsidRDefault="00991CE9" w:rsidP="00991CE9">
      <w:pPr>
        <w:spacing w:line="520" w:lineRule="exact"/>
        <w:jc w:val="center"/>
        <w:rPr>
          <w:rFonts w:ascii="方正小标宋简体" w:eastAsia="方正小标宋简体" w:hAnsi="Arial" w:cs="Arial"/>
          <w:sz w:val="36"/>
          <w:szCs w:val="36"/>
          <w:lang w:bidi="ar"/>
        </w:rPr>
      </w:pPr>
      <w:r>
        <w:rPr>
          <w:rFonts w:ascii="方正小标宋简体" w:eastAsia="方正小标宋简体" w:hAnsi="Arial" w:cs="Arial" w:hint="eastAsia"/>
          <w:sz w:val="36"/>
          <w:szCs w:val="36"/>
          <w:lang w:bidi="ar"/>
        </w:rPr>
        <w:t>第十一届用户满意理论与实践研讨会</w:t>
      </w:r>
    </w:p>
    <w:p w14:paraId="7D8ADE0C" w14:textId="77777777" w:rsidR="00991CE9" w:rsidRDefault="00991CE9" w:rsidP="00991CE9">
      <w:pPr>
        <w:spacing w:line="52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  <w:r>
        <w:rPr>
          <w:rFonts w:ascii="方正小标宋简体" w:eastAsia="方正小标宋简体" w:hAnsi="Arial" w:cs="Arial" w:hint="eastAsia"/>
          <w:sz w:val="36"/>
          <w:szCs w:val="36"/>
          <w:lang w:bidi="ar"/>
        </w:rPr>
        <w:t>简要日程</w:t>
      </w:r>
    </w:p>
    <w:p w14:paraId="53756D04" w14:textId="77777777" w:rsidR="00991CE9" w:rsidRDefault="00991CE9" w:rsidP="00991CE9">
      <w:pPr>
        <w:spacing w:line="520" w:lineRule="exact"/>
        <w:jc w:val="center"/>
        <w:rPr>
          <w:rFonts w:ascii="Arial" w:eastAsia="方正小标宋简体" w:hAnsi="Arial" w:cs="Arial"/>
          <w:sz w:val="44"/>
          <w:szCs w:val="24"/>
        </w:rPr>
      </w:pPr>
    </w:p>
    <w:p w14:paraId="5AE419A1" w14:textId="77777777" w:rsidR="00991CE9" w:rsidRDefault="00991CE9" w:rsidP="00991CE9">
      <w:pPr>
        <w:spacing w:line="520" w:lineRule="exact"/>
        <w:ind w:firstLineChars="600" w:firstLine="1928"/>
        <w:jc w:val="left"/>
        <w:rPr>
          <w:rFonts w:ascii="仿宋_GB2312" w:eastAsia="仿宋_GB2312" w:hAnsi="宋体" w:cs="黑体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  <w:lang w:bidi="ar"/>
        </w:rPr>
        <w:t>主题：升级用户思维</w:t>
      </w:r>
      <w:r>
        <w:rPr>
          <w:rFonts w:ascii="仿宋_GB2312" w:eastAsia="仿宋_GB2312" w:hAnsi="宋体" w:cs="黑体"/>
          <w:b/>
          <w:sz w:val="32"/>
          <w:szCs w:val="32"/>
          <w:lang w:bidi="ar"/>
        </w:rPr>
        <w:t xml:space="preserve"> 共创用户价值</w:t>
      </w:r>
    </w:p>
    <w:p w14:paraId="7BB813E5" w14:textId="77777777" w:rsidR="00991CE9" w:rsidRDefault="00991CE9" w:rsidP="00991CE9">
      <w:pPr>
        <w:widowControl/>
        <w:spacing w:line="520" w:lineRule="exact"/>
        <w:ind w:right="640" w:firstLineChars="600" w:firstLine="1928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宋体" w:cs="黑体" w:hint="eastAsia"/>
          <w:b/>
          <w:sz w:val="32"/>
          <w:szCs w:val="32"/>
          <w:lang w:bidi="ar"/>
        </w:rPr>
        <w:t>时间：202</w:t>
      </w:r>
      <w:r>
        <w:rPr>
          <w:rFonts w:ascii="仿宋_GB2312" w:eastAsia="仿宋_GB2312" w:hAnsi="宋体" w:cs="黑体"/>
          <w:b/>
          <w:sz w:val="32"/>
          <w:szCs w:val="32"/>
          <w:lang w:bidi="ar"/>
        </w:rPr>
        <w:t>3</w:t>
      </w:r>
      <w:r>
        <w:rPr>
          <w:rFonts w:ascii="仿宋_GB2312" w:eastAsia="仿宋_GB2312" w:hAnsi="宋体" w:cs="黑体" w:hint="eastAsia"/>
          <w:b/>
          <w:sz w:val="32"/>
          <w:szCs w:val="32"/>
          <w:lang w:bidi="ar"/>
        </w:rPr>
        <w:t>年</w:t>
      </w:r>
      <w:r>
        <w:rPr>
          <w:rFonts w:ascii="仿宋_GB2312" w:eastAsia="仿宋_GB2312" w:hAnsi="宋体" w:cs="黑体"/>
          <w:b/>
          <w:sz w:val="32"/>
          <w:szCs w:val="32"/>
          <w:lang w:bidi="ar"/>
        </w:rPr>
        <w:t>6</w:t>
      </w:r>
      <w:r>
        <w:rPr>
          <w:rFonts w:ascii="仿宋_GB2312" w:eastAsia="仿宋_GB2312" w:hAnsi="宋体" w:cs="黑体" w:hint="eastAsia"/>
          <w:b/>
          <w:sz w:val="32"/>
          <w:szCs w:val="32"/>
          <w:lang w:bidi="ar"/>
        </w:rPr>
        <w:t>月1</w:t>
      </w:r>
      <w:r>
        <w:rPr>
          <w:rFonts w:ascii="仿宋_GB2312" w:eastAsia="仿宋_GB2312" w:hAnsi="宋体" w:cs="黑体"/>
          <w:b/>
          <w:sz w:val="32"/>
          <w:szCs w:val="32"/>
          <w:lang w:bidi="ar"/>
        </w:rPr>
        <w:t>5</w:t>
      </w:r>
      <w:r>
        <w:rPr>
          <w:rFonts w:ascii="仿宋_GB2312" w:eastAsia="仿宋_GB2312" w:hAnsi="宋体" w:cs="黑体" w:hint="eastAsia"/>
          <w:b/>
          <w:sz w:val="32"/>
          <w:szCs w:val="32"/>
          <w:lang w:bidi="ar"/>
        </w:rPr>
        <w:t>日至1</w:t>
      </w:r>
      <w:r>
        <w:rPr>
          <w:rFonts w:ascii="仿宋_GB2312" w:eastAsia="仿宋_GB2312" w:hAnsi="宋体" w:cs="黑体"/>
          <w:b/>
          <w:sz w:val="32"/>
          <w:szCs w:val="32"/>
          <w:lang w:bidi="ar"/>
        </w:rPr>
        <w:t>6</w:t>
      </w:r>
      <w:r>
        <w:rPr>
          <w:rFonts w:ascii="仿宋_GB2312" w:eastAsia="仿宋_GB2312" w:hAnsi="宋体" w:cs="黑体" w:hint="eastAsia"/>
          <w:b/>
          <w:sz w:val="32"/>
          <w:szCs w:val="32"/>
          <w:lang w:bidi="ar"/>
        </w:rPr>
        <w:t>日</w:t>
      </w:r>
    </w:p>
    <w:tbl>
      <w:tblPr>
        <w:tblStyle w:val="4-31"/>
        <w:tblW w:w="99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36"/>
        <w:gridCol w:w="4880"/>
      </w:tblGrid>
      <w:tr w:rsidR="00991CE9" w14:paraId="14C61745" w14:textId="77777777" w:rsidTr="005E3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E0334C" w14:textId="77777777" w:rsidR="00991CE9" w:rsidRDefault="00991CE9" w:rsidP="005E3A51">
            <w:pPr>
              <w:spacing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30"/>
                <w:szCs w:val="30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1CD53C" w14:textId="77777777" w:rsidR="00991CE9" w:rsidRDefault="00991CE9" w:rsidP="005E3A51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30"/>
                <w:szCs w:val="30"/>
              </w:rPr>
              <w:t>主题板块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2D247A" w14:textId="77777777" w:rsidR="00991CE9" w:rsidRDefault="00991CE9" w:rsidP="005E3A51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30"/>
                <w:szCs w:val="30"/>
              </w:rPr>
              <w:t>时间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DD59AD" w14:textId="77777777" w:rsidR="00991CE9" w:rsidRDefault="00991CE9" w:rsidP="005E3A51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auto"/>
                <w:sz w:val="30"/>
                <w:szCs w:val="30"/>
              </w:rPr>
              <w:t>内容</w:t>
            </w:r>
          </w:p>
        </w:tc>
      </w:tr>
      <w:tr w:rsidR="00991CE9" w14:paraId="67276B76" w14:textId="77777777" w:rsidTr="005E3A51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77683E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8"/>
                <w:szCs w:val="28"/>
              </w:rPr>
              <w:t>6月15日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E6D284" w14:textId="77777777" w:rsidR="00991CE9" w:rsidRDefault="00991CE9" w:rsidP="005E3A51">
            <w:pPr>
              <w:pStyle w:val="a4"/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会议报到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26CA13" w14:textId="77777777" w:rsidR="00991CE9" w:rsidRDefault="00991CE9" w:rsidP="005E3A51">
            <w:pPr>
              <w:pStyle w:val="a4"/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7:00-8:55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23169E" w14:textId="77777777" w:rsidR="00991CE9" w:rsidRDefault="00991CE9" w:rsidP="005E3A51">
            <w:pPr>
              <w:pStyle w:val="a4"/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签到、领取代表证和会议资料</w:t>
            </w:r>
          </w:p>
        </w:tc>
      </w:tr>
      <w:tr w:rsidR="00991CE9" w14:paraId="3D550009" w14:textId="77777777" w:rsidTr="005E3A51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527351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1EE861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主会场</w:t>
            </w:r>
          </w:p>
          <w:p w14:paraId="78C5B81D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理论研讨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351982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9:00-9:05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207C80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领导致辞</w:t>
            </w:r>
          </w:p>
        </w:tc>
      </w:tr>
      <w:tr w:rsidR="00991CE9" w14:paraId="288667F0" w14:textId="77777777" w:rsidTr="005E3A51">
        <w:trPr>
          <w:trHeight w:val="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EF2254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04A7CF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A6B259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9:05-9:40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14F957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主旨演讲</w:t>
            </w:r>
          </w:p>
          <w:p w14:paraId="67AE65DB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从用户视角创造价值</w:t>
            </w:r>
          </w:p>
        </w:tc>
      </w:tr>
      <w:tr w:rsidR="00991CE9" w14:paraId="1F7E85FF" w14:textId="77777777" w:rsidTr="005E3A51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4E32CF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001A20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F6F8D3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9:40-10:20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B456CD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专题演讲</w:t>
            </w:r>
          </w:p>
          <w:p w14:paraId="4E72A707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新形势下用户洞察思维“变”与“不变”</w:t>
            </w:r>
          </w:p>
        </w:tc>
      </w:tr>
      <w:tr w:rsidR="00991CE9" w14:paraId="20E6C357" w14:textId="77777777" w:rsidTr="005E3A51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E741EE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D92D70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B103B1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10:20-11:00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E78D9E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专题演讲</w:t>
            </w:r>
          </w:p>
          <w:p w14:paraId="2E30CAF4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用户满意工程活动实践特点和启示</w:t>
            </w:r>
          </w:p>
        </w:tc>
      </w:tr>
      <w:tr w:rsidR="00991CE9" w14:paraId="77992048" w14:textId="77777777" w:rsidTr="005E3A51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E0AC22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3871C9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721945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11:00-11:50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401941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专题演讲和行业发布</w:t>
            </w:r>
          </w:p>
          <w:p w14:paraId="07157409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行业洞察：用户思维的行业差异研究</w:t>
            </w:r>
          </w:p>
          <w:p w14:paraId="5D113132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发布重点行业用户满意度测评结果</w:t>
            </w:r>
          </w:p>
        </w:tc>
      </w:tr>
      <w:tr w:rsidR="00991CE9" w14:paraId="271FCC07" w14:textId="77777777" w:rsidTr="005E3A51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78512F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bookmarkStart w:id="0" w:name="_Hlk132963868"/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CF489F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21DFB8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11:50-12:00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905528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会议总结</w:t>
            </w:r>
          </w:p>
        </w:tc>
      </w:tr>
      <w:bookmarkEnd w:id="0"/>
      <w:tr w:rsidR="00991CE9" w14:paraId="7E1338FB" w14:textId="77777777" w:rsidTr="005E3A51">
        <w:trPr>
          <w:trHeight w:val="2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E302FC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63A3D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分会场1：</w:t>
            </w:r>
          </w:p>
          <w:p w14:paraId="552514F2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用户思维驱动下的企业质量管理和创新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A15924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E569A8" w14:textId="77777777" w:rsidR="00991CE9" w:rsidRDefault="00991CE9" w:rsidP="005E3A51">
            <w:pPr>
              <w:pStyle w:val="a4"/>
              <w:spacing w:line="4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主要议题：用户思维如何影响企业管理和创新的方向，企业如何从管理、技术、产品、服务、营销等方面的管理和创新更好地实现用户价值。四家优秀企业代表分享经验，参会代表与分享代表交流研讨。主办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方总结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会议成果。</w:t>
            </w:r>
          </w:p>
        </w:tc>
      </w:tr>
      <w:tr w:rsidR="00991CE9" w14:paraId="255C1885" w14:textId="77777777" w:rsidTr="005E3A51">
        <w:trPr>
          <w:trHeight w:val="2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7DE534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CEC4A5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分会场2：</w:t>
            </w:r>
          </w:p>
          <w:p w14:paraId="015AD619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基于用户思维的用户体验研究和设计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D41CC8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60D1C4" w14:textId="77777777" w:rsidR="00991CE9" w:rsidRDefault="00991CE9" w:rsidP="005E3A51">
            <w:pPr>
              <w:pStyle w:val="a4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主要议题：围绕用户思维企业如何研究和设计用户体验，用户体验对于推动用户思维转变和共创用户价值的作用和意义。四家优秀企业代表分享经验，参会代表与分享代表交流研讨。主办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方总结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会议成果。</w:t>
            </w:r>
          </w:p>
        </w:tc>
      </w:tr>
      <w:tr w:rsidR="00991CE9" w14:paraId="31F75B8B" w14:textId="77777777" w:rsidTr="005E3A51">
        <w:trPr>
          <w:trHeight w:val="2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256D03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D3E140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分会场3：</w:t>
            </w:r>
          </w:p>
          <w:p w14:paraId="5A750540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用户思维与数字化变革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576082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1E4985" w14:textId="77777777" w:rsidR="00991CE9" w:rsidRDefault="00991CE9" w:rsidP="005E3A51">
            <w:pPr>
              <w:pStyle w:val="a4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主要议题：数字化转型对于企业用户思维选择的影响，数字化在满足用户需求、提升质量和用户满意，共创价值方面发挥的作用。四家优秀企业代表分享经验，参会代表现场与分享代表交流研讨。主办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方总结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会议成果。</w:t>
            </w:r>
          </w:p>
        </w:tc>
      </w:tr>
      <w:tr w:rsidR="00991CE9" w14:paraId="1420F9D2" w14:textId="77777777" w:rsidTr="005E3A51">
        <w:trPr>
          <w:trHeight w:val="3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7FB072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A0F429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分会场4：</w:t>
            </w:r>
          </w:p>
          <w:p w14:paraId="63C38E5A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团标企业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应用和推广经验交流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38FB25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079C3A" w14:textId="77777777" w:rsidR="00991CE9" w:rsidRDefault="00991CE9" w:rsidP="005E3A51">
            <w:pPr>
              <w:pStyle w:val="a4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主要议题：围绕《顾客满意度测量和评价准则》（T/CAQ10306-2022）团标，对企业应用状况和测量机构、评价机构在应用过程中的经验和问题进行分享、研讨。</w:t>
            </w:r>
          </w:p>
          <w:p w14:paraId="1001121F" w14:textId="77777777" w:rsidR="00991CE9" w:rsidRDefault="00991CE9" w:rsidP="005E3A51">
            <w:pPr>
              <w:pStyle w:val="a4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优秀企业、测量机构、评价机构代表和标准起草人等分享经验，交流研讨。主办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方总结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会议成果。</w:t>
            </w:r>
          </w:p>
        </w:tc>
      </w:tr>
      <w:tr w:rsidR="00991CE9" w14:paraId="5C824F04" w14:textId="77777777" w:rsidTr="005E3A51">
        <w:trPr>
          <w:trHeight w:val="1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1C9680" w14:textId="77777777" w:rsidR="00991CE9" w:rsidRDefault="00991CE9" w:rsidP="005E3A51">
            <w:pPr>
              <w:pStyle w:val="a4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30"/>
                <w:szCs w:val="30"/>
              </w:rPr>
              <w:t>6月16日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C68297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</w:t>
            </w:r>
          </w:p>
          <w:p w14:paraId="218CCFBF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交流参观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0A93A7" w14:textId="77777777" w:rsidR="00991CE9" w:rsidRDefault="00991CE9" w:rsidP="005E3A51">
            <w:pPr>
              <w:pStyle w:val="a4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8:30-11:30</w:t>
            </w:r>
          </w:p>
        </w:tc>
        <w:tc>
          <w:tcPr>
            <w:tcW w:w="48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CF2929" w14:textId="77777777" w:rsidR="00991CE9" w:rsidRDefault="00991CE9" w:rsidP="005E3A51">
            <w:pPr>
              <w:pStyle w:val="a4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交流参观：</w:t>
            </w:r>
          </w:p>
          <w:p w14:paraId="586AEC46" w14:textId="77777777" w:rsidR="00991CE9" w:rsidRDefault="00991CE9" w:rsidP="005E3A51">
            <w:pPr>
              <w:pStyle w:val="a4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汽-大众汽车有限公司佛山分公司</w:t>
            </w:r>
          </w:p>
          <w:p w14:paraId="18F7263A" w14:textId="77777777" w:rsidR="00991CE9" w:rsidRDefault="00991CE9" w:rsidP="005E3A51">
            <w:pPr>
              <w:pStyle w:val="a4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2.美的集团</w:t>
            </w:r>
          </w:p>
        </w:tc>
      </w:tr>
    </w:tbl>
    <w:p w14:paraId="2205C3F2" w14:textId="77777777" w:rsidR="00991CE9" w:rsidRDefault="00991CE9"/>
    <w:sectPr w:rsidR="0099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E9"/>
    <w:rsid w:val="009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4E04"/>
  <w15:chartTrackingRefBased/>
  <w15:docId w15:val="{03C6117A-0D04-43FA-9722-CBD2310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E9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91CE9"/>
    <w:pPr>
      <w:jc w:val="left"/>
    </w:pPr>
    <w:rPr>
      <w:rFonts w:hint="eastAsia"/>
      <w:kern w:val="0"/>
      <w:sz w:val="24"/>
    </w:rPr>
  </w:style>
  <w:style w:type="table" w:customStyle="1" w:styleId="4-31">
    <w:name w:val="网格表 4 - 着色 31"/>
    <w:basedOn w:val="a1"/>
    <w:uiPriority w:val="49"/>
    <w:qFormat/>
    <w:rsid w:val="00991CE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No Spacing"/>
    <w:uiPriority w:val="1"/>
    <w:qFormat/>
    <w:rsid w:val="00991CE9"/>
    <w:pPr>
      <w:widowControl w:val="0"/>
      <w:jc w:val="both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2023-04-26T08:00:00Z</dcterms:created>
  <dcterms:modified xsi:type="dcterms:W3CDTF">2023-04-26T08:02:00Z</dcterms:modified>
</cp:coreProperties>
</file>